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7C" w:rsidRPr="00BA1338" w:rsidRDefault="004E3970" w:rsidP="00BA1338">
      <w:pPr>
        <w:bidi/>
        <w:jc w:val="center"/>
        <w:rPr>
          <w:rFonts w:hint="cs"/>
          <w:sz w:val="36"/>
          <w:szCs w:val="36"/>
          <w:rtl/>
          <w:lang w:bidi="ar-JO"/>
        </w:rPr>
      </w:pPr>
      <w:r w:rsidRPr="00BA1338">
        <w:rPr>
          <w:rFonts w:hint="cs"/>
          <w:sz w:val="36"/>
          <w:szCs w:val="36"/>
          <w:rtl/>
          <w:lang w:bidi="ar-JO"/>
        </w:rPr>
        <w:t>الفنون النثرية المطلوبة للصف الثامن ومعا</w:t>
      </w:r>
      <w:bookmarkStart w:id="0" w:name="_GoBack"/>
      <w:bookmarkEnd w:id="0"/>
      <w:r w:rsidRPr="00BA1338">
        <w:rPr>
          <w:rFonts w:hint="cs"/>
          <w:sz w:val="36"/>
          <w:szCs w:val="36"/>
          <w:rtl/>
          <w:lang w:bidi="ar-JO"/>
        </w:rPr>
        <w:t>ييرها</w:t>
      </w:r>
    </w:p>
    <w:p w:rsidR="004E3970" w:rsidRDefault="004E3970" w:rsidP="004E3970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u w:val="single"/>
          <w:lang w:bidi="ar-JO"/>
        </w:rPr>
      </w:pPr>
      <w:r w:rsidRPr="004E3970">
        <w:rPr>
          <w:rFonts w:hint="cs"/>
          <w:b/>
          <w:bCs/>
          <w:sz w:val="28"/>
          <w:szCs w:val="28"/>
          <w:u w:val="single"/>
          <w:rtl/>
          <w:lang w:bidi="ar-JO"/>
        </w:rPr>
        <w:t>كتابة المذكرات اليومية</w:t>
      </w:r>
    </w:p>
    <w:tbl>
      <w:tblPr>
        <w:bidiVisual/>
        <w:tblW w:w="8624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795"/>
        <w:gridCol w:w="571"/>
        <w:gridCol w:w="637"/>
        <w:gridCol w:w="1201"/>
        <w:gridCol w:w="686"/>
        <w:gridCol w:w="780"/>
        <w:gridCol w:w="1104"/>
        <w:gridCol w:w="790"/>
        <w:gridCol w:w="690"/>
        <w:gridCol w:w="756"/>
      </w:tblGrid>
      <w:tr w:rsidR="004E3970" w:rsidRPr="004E3970" w:rsidTr="004E3970">
        <w:trPr>
          <w:trHeight w:val="300"/>
        </w:trPr>
        <w:tc>
          <w:tcPr>
            <w:tcW w:w="6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المعيار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العنوان الجيّد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57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التفقير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3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الزمان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والمكان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2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الأماكن والشخصيات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  <w:lang w:bidi="ar-JO"/>
              </w:rPr>
              <w:t>الخط والترتيب</w:t>
            </w:r>
          </w:p>
        </w:tc>
        <w:tc>
          <w:tcPr>
            <w:tcW w:w="7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تسلسل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الأفكار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1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المشاعر الشخصية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الإملاء والترقيم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سلامة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اللّغة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 xml:space="preserve">المجموع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  <w:lang w:bidi="ar-JO"/>
              </w:rPr>
              <w:t>24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</w:tr>
      <w:tr w:rsidR="004E3970" w:rsidRPr="004E3970" w:rsidTr="004E3970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العلامة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/2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</w:tr>
    </w:tbl>
    <w:p w:rsidR="004E3970" w:rsidRDefault="004E3970" w:rsidP="004E3970">
      <w:pPr>
        <w:pStyle w:val="ListParagraph"/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4E3970" w:rsidRDefault="004E3970" w:rsidP="004E3970">
      <w:pPr>
        <w:pStyle w:val="ListParagraph"/>
        <w:bidi/>
        <w:rPr>
          <w:b/>
          <w:bCs/>
          <w:sz w:val="28"/>
          <w:szCs w:val="28"/>
          <w:u w:val="single"/>
          <w:lang w:bidi="ar-JO"/>
        </w:rPr>
      </w:pPr>
    </w:p>
    <w:p w:rsidR="004E3970" w:rsidRDefault="004E3970" w:rsidP="004E3970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u w:val="single"/>
          <w:lang w:bidi="ar-JO"/>
        </w:rPr>
      </w:pPr>
      <w:r w:rsidRPr="004E397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كتابة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القصة القصيرة</w:t>
      </w:r>
    </w:p>
    <w:tbl>
      <w:tblPr>
        <w:bidiVisual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85"/>
        <w:gridCol w:w="639"/>
        <w:gridCol w:w="638"/>
        <w:gridCol w:w="594"/>
        <w:gridCol w:w="2829"/>
        <w:gridCol w:w="616"/>
        <w:gridCol w:w="1156"/>
        <w:gridCol w:w="762"/>
      </w:tblGrid>
      <w:tr w:rsidR="004E3970" w:rsidRPr="004E3970" w:rsidTr="004E3970">
        <w:trPr>
          <w:trHeight w:val="300"/>
        </w:trPr>
        <w:tc>
          <w:tcPr>
            <w:tcW w:w="66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المعيار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91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العنوان الإبداعي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6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التفقير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الخط والترتيب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أسلوب القاصّ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32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عناصر القصة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الزمان/المكان/الشخصيات/الأحداث /الحبكة /الحل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الإملاء والترقيم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4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سلامة</w:t>
            </w:r>
            <w:r w:rsidRPr="004E3970">
              <w:rPr>
                <w:rFonts w:ascii="Traditional Arabic" w:eastAsia="Times New Roman" w:hAnsi="Traditional Arabic" w:cs="Traditional Arabic"/>
                <w:sz w:val="20"/>
                <w:szCs w:val="20"/>
                <w:rtl/>
              </w:rPr>
              <w:t> </w:t>
            </w:r>
          </w:p>
          <w:p w:rsidR="004E3970" w:rsidRPr="004E3970" w:rsidRDefault="004E3970" w:rsidP="004E3970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اللّغة (النحو والتراكيب)</w:t>
            </w:r>
            <w:r w:rsidRPr="004E3970">
              <w:rPr>
                <w:rFonts w:ascii="Traditional Arabic" w:eastAsia="Times New Roman" w:hAnsi="Traditional Arabic" w:cs="Traditional Arabic"/>
                <w:sz w:val="20"/>
                <w:szCs w:val="20"/>
                <w:rtl/>
              </w:rPr>
              <w:t> </w:t>
            </w:r>
          </w:p>
        </w:tc>
        <w:tc>
          <w:tcPr>
            <w:tcW w:w="9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2EFD9"/>
            <w:vAlign w:val="center"/>
            <w:hideMark/>
          </w:tcPr>
          <w:p w:rsidR="004E3970" w:rsidRPr="004E3970" w:rsidRDefault="004E3970" w:rsidP="001175A7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 xml:space="preserve">المجموع </w:t>
            </w:r>
            <w:r w:rsidR="001175A7">
              <w:rPr>
                <w:rFonts w:ascii="Traditional Arabic" w:eastAsia="Times New Roman" w:hAnsi="Traditional Arabic" w:cs="Traditional Arabic" w:hint="cs"/>
                <w:b/>
                <w:bCs/>
                <w:rtl/>
                <w:lang w:bidi="ar-JO"/>
              </w:rPr>
              <w:t>24</w:t>
            </w:r>
          </w:p>
        </w:tc>
      </w:tr>
      <w:tr w:rsidR="004E3970" w:rsidRPr="004E3970" w:rsidTr="004E3970">
        <w:trPr>
          <w:trHeight w:val="300"/>
        </w:trPr>
        <w:tc>
          <w:tcPr>
            <w:tcW w:w="6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العلامة</w:t>
            </w:r>
            <w:r w:rsidRPr="004E3970">
              <w:rPr>
                <w:rFonts w:ascii="Traditional Arabic" w:eastAsia="Times New Roman" w:hAnsi="Traditional Arabic" w:cs="Traditional Arabic"/>
                <w:sz w:val="20"/>
                <w:szCs w:val="20"/>
                <w:rtl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E3970" w:rsidRPr="004E3970" w:rsidRDefault="004E3970" w:rsidP="004E397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</w:tbl>
    <w:p w:rsidR="004E3970" w:rsidRDefault="004E3970" w:rsidP="004E3970">
      <w:pPr>
        <w:pStyle w:val="ListParagraph"/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4E3970" w:rsidRDefault="004E3970" w:rsidP="004E3970">
      <w:pPr>
        <w:pStyle w:val="ListParagraph"/>
        <w:bidi/>
        <w:rPr>
          <w:b/>
          <w:bCs/>
          <w:sz w:val="28"/>
          <w:szCs w:val="28"/>
          <w:u w:val="single"/>
          <w:lang w:bidi="ar-JO"/>
        </w:rPr>
      </w:pPr>
    </w:p>
    <w:p w:rsidR="004E3970" w:rsidRDefault="004E3970" w:rsidP="004E3970">
      <w:pPr>
        <w:pStyle w:val="ListParagraph"/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تلخيص نصّ اجتماعيّ</w:t>
      </w:r>
    </w:p>
    <w:p w:rsidR="00AF231D" w:rsidRDefault="00AF231D" w:rsidP="00AF231D">
      <w:pPr>
        <w:pStyle w:val="ListParagraph"/>
        <w:bidi/>
        <w:rPr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8624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787"/>
        <w:gridCol w:w="641"/>
        <w:gridCol w:w="639"/>
        <w:gridCol w:w="935"/>
        <w:gridCol w:w="1170"/>
        <w:gridCol w:w="1332"/>
        <w:gridCol w:w="617"/>
        <w:gridCol w:w="1162"/>
        <w:gridCol w:w="765"/>
      </w:tblGrid>
      <w:tr w:rsidR="001175A7" w:rsidRPr="004E3970" w:rsidTr="001175A7">
        <w:trPr>
          <w:trHeight w:val="300"/>
        </w:trPr>
        <w:tc>
          <w:tcPr>
            <w:tcW w:w="57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المعيار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78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العنوان الإبداعي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4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التفقير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6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الخط والترتيب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9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  <w:lang w:bidi="ar-JO"/>
              </w:rPr>
              <w:t>اكتمال الأفكار الرئيسة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  <w:lang w:bidi="ar-JO"/>
              </w:rPr>
              <w:t>حذف التفصيلات الهامشية والحشو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3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  <w:lang w:bidi="ar-JO"/>
              </w:rPr>
              <w:t>إعادة الصياغة بلغة الطالب الخاصة دون الإخلال بالمعنى</w:t>
            </w:r>
          </w:p>
        </w:tc>
        <w:tc>
          <w:tcPr>
            <w:tcW w:w="6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>الإملاء والترقيم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  <w:tc>
          <w:tcPr>
            <w:tcW w:w="116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سلامة</w:t>
            </w:r>
            <w:r w:rsidRPr="004E3970">
              <w:rPr>
                <w:rFonts w:ascii="Traditional Arabic" w:eastAsia="Times New Roman" w:hAnsi="Traditional Arabic" w:cs="Traditional Arabic"/>
                <w:sz w:val="20"/>
                <w:szCs w:val="20"/>
                <w:rtl/>
              </w:rPr>
              <w:t> </w:t>
            </w:r>
          </w:p>
          <w:p w:rsidR="001175A7" w:rsidRPr="004E3970" w:rsidRDefault="001175A7" w:rsidP="00E37A84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اللّغة (النحو والتراكيب)</w:t>
            </w:r>
            <w:r w:rsidRPr="004E3970">
              <w:rPr>
                <w:rFonts w:ascii="Traditional Arabic" w:eastAsia="Times New Roman" w:hAnsi="Traditional Arabic" w:cs="Traditional Arabic"/>
                <w:sz w:val="20"/>
                <w:szCs w:val="20"/>
                <w:rtl/>
              </w:rPr>
              <w:t> </w:t>
            </w:r>
          </w:p>
        </w:tc>
        <w:tc>
          <w:tcPr>
            <w:tcW w:w="76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2EFD9"/>
            <w:vAlign w:val="center"/>
            <w:hideMark/>
          </w:tcPr>
          <w:p w:rsidR="001175A7" w:rsidRPr="004E3970" w:rsidRDefault="001175A7" w:rsidP="001175A7">
            <w:pPr>
              <w:bidi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rtl/>
                <w:lang w:bidi="ar-JO"/>
              </w:rPr>
              <w:t xml:space="preserve">المجموع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  <w:lang w:bidi="ar-JO"/>
              </w:rPr>
              <w:t>24</w:t>
            </w:r>
            <w:r w:rsidRPr="004E3970">
              <w:rPr>
                <w:rFonts w:ascii="Traditional Arabic" w:eastAsia="Times New Roman" w:hAnsi="Traditional Arabic" w:cs="Traditional Arabic"/>
                <w:rtl/>
              </w:rPr>
              <w:t> </w:t>
            </w:r>
          </w:p>
        </w:tc>
      </w:tr>
      <w:tr w:rsidR="001175A7" w:rsidRPr="004E3970" w:rsidTr="001175A7">
        <w:trPr>
          <w:trHeight w:val="300"/>
        </w:trPr>
        <w:tc>
          <w:tcPr>
            <w:tcW w:w="57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العلامة</w:t>
            </w:r>
            <w:r w:rsidRPr="004E3970">
              <w:rPr>
                <w:rFonts w:ascii="Traditional Arabic" w:eastAsia="Times New Roman" w:hAnsi="Traditional Arabic" w:cs="Traditional Arabic"/>
                <w:sz w:val="20"/>
                <w:szCs w:val="20"/>
                <w:rtl/>
              </w:rPr>
              <w:t> 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5A7" w:rsidRPr="004E3970" w:rsidRDefault="001175A7" w:rsidP="001175A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rtl/>
              </w:rPr>
            </w:pPr>
            <w:r w:rsidRPr="004E3970"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  <w:t> </w:t>
            </w:r>
          </w:p>
        </w:tc>
      </w:tr>
    </w:tbl>
    <w:p w:rsidR="00AF231D" w:rsidRPr="004E3970" w:rsidRDefault="00AF231D" w:rsidP="00AF231D">
      <w:pPr>
        <w:pStyle w:val="ListParagraph"/>
        <w:bidi/>
        <w:rPr>
          <w:rFonts w:hint="cs"/>
          <w:b/>
          <w:bCs/>
          <w:sz w:val="28"/>
          <w:szCs w:val="28"/>
          <w:u w:val="single"/>
          <w:lang w:bidi="ar-JO"/>
        </w:rPr>
      </w:pPr>
    </w:p>
    <w:sectPr w:rsidR="00AF231D" w:rsidRPr="004E39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0D51"/>
    <w:multiLevelType w:val="hybridMultilevel"/>
    <w:tmpl w:val="6B7ABE84"/>
    <w:lvl w:ilvl="0" w:tplc="D59C7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28C"/>
    <w:multiLevelType w:val="hybridMultilevel"/>
    <w:tmpl w:val="6B7ABE84"/>
    <w:lvl w:ilvl="0" w:tplc="D59C7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E173D"/>
    <w:multiLevelType w:val="hybridMultilevel"/>
    <w:tmpl w:val="A21A4A50"/>
    <w:lvl w:ilvl="0" w:tplc="D59C7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70"/>
    <w:rsid w:val="001175A7"/>
    <w:rsid w:val="004E3970"/>
    <w:rsid w:val="00596F7C"/>
    <w:rsid w:val="00AF231D"/>
    <w:rsid w:val="00B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6BEF"/>
  <w15:chartTrackingRefBased/>
  <w15:docId w15:val="{14411D51-F8C7-45E5-BD9B-EE9991C9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70"/>
    <w:pPr>
      <w:ind w:left="720"/>
      <w:contextualSpacing/>
    </w:pPr>
  </w:style>
  <w:style w:type="paragraph" w:customStyle="1" w:styleId="paragraph">
    <w:name w:val="paragraph"/>
    <w:basedOn w:val="Normal"/>
    <w:rsid w:val="004E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E3970"/>
  </w:style>
  <w:style w:type="character" w:customStyle="1" w:styleId="eop">
    <w:name w:val="eop"/>
    <w:basedOn w:val="DefaultParagraphFont"/>
    <w:rsid w:val="004E3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 Odat</dc:creator>
  <cp:keywords/>
  <dc:description/>
  <cp:lastModifiedBy>Taher Odat</cp:lastModifiedBy>
  <cp:revision>3</cp:revision>
  <dcterms:created xsi:type="dcterms:W3CDTF">2025-10-26T08:22:00Z</dcterms:created>
  <dcterms:modified xsi:type="dcterms:W3CDTF">2025-10-26T09:40:00Z</dcterms:modified>
</cp:coreProperties>
</file>